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B0" w:rsidRDefault="00402FB0"/>
    <w:p w:rsidR="00DF486D" w:rsidRPr="00DF486D" w:rsidRDefault="00796AB7" w:rsidP="00DF486D">
      <w:pPr>
        <w:jc w:val="center"/>
        <w:rPr>
          <w:b/>
        </w:rPr>
      </w:pPr>
      <w:r>
        <w:rPr>
          <w:b/>
        </w:rPr>
        <w:t>THIS IS A CENTER-</w:t>
      </w:r>
      <w:bookmarkStart w:id="0" w:name="_GoBack"/>
      <w:bookmarkEnd w:id="0"/>
      <w:r w:rsidR="00DF486D" w:rsidRPr="00DF486D">
        <w:rPr>
          <w:b/>
        </w:rPr>
        <w:t>PI</w:t>
      </w:r>
      <w:r>
        <w:rPr>
          <w:b/>
        </w:rPr>
        <w:t>E</w:t>
      </w:r>
      <w:r w:rsidR="00DF486D" w:rsidRPr="00DF486D">
        <w:rPr>
          <w:b/>
        </w:rPr>
        <w:t>CE TO ALL WHICH CONNECTS ALL THE DOTS ………</w:t>
      </w:r>
    </w:p>
    <w:p w:rsidR="00DF486D" w:rsidRDefault="00DF486D" w:rsidP="00DF486D"/>
    <w:p w:rsidR="00DF486D" w:rsidRPr="00DF486D" w:rsidRDefault="00DF486D" w:rsidP="00DF486D">
      <w:pPr>
        <w:jc w:val="center"/>
        <w:rPr>
          <w:b/>
        </w:rPr>
      </w:pPr>
      <w:r w:rsidRPr="00DF486D">
        <w:rPr>
          <w:b/>
        </w:rPr>
        <w:t xml:space="preserve">NOTICE OF FAULT OFFER TO CURE (10 DAY NOTICE) </w:t>
      </w:r>
    </w:p>
    <w:p w:rsidR="00DF486D" w:rsidRDefault="00DF486D" w:rsidP="00DF486D">
      <w:pPr>
        <w:jc w:val="center"/>
      </w:pPr>
    </w:p>
    <w:p w:rsidR="00DF486D" w:rsidRPr="00DF486D" w:rsidRDefault="00DF486D" w:rsidP="00DF486D">
      <w:pPr>
        <w:rPr>
          <w:sz w:val="20"/>
          <w:szCs w:val="20"/>
        </w:rPr>
      </w:pPr>
      <w:r w:rsidRPr="00DF486D">
        <w:rPr>
          <w:b/>
        </w:rPr>
        <w:t>PLEASE REVIEW</w:t>
      </w:r>
      <w:r>
        <w:t xml:space="preserve">: </w:t>
      </w:r>
      <w:r w:rsidRPr="00DF486D">
        <w:rPr>
          <w:sz w:val="20"/>
          <w:szCs w:val="20"/>
        </w:rPr>
        <w:t>However now because of the intent</w:t>
      </w:r>
      <w:r>
        <w:rPr>
          <w:sz w:val="20"/>
          <w:szCs w:val="20"/>
        </w:rPr>
        <w:t xml:space="preserve"> and action you </w:t>
      </w:r>
      <w:r w:rsidRPr="00DF486D">
        <w:rPr>
          <w:b/>
          <w:sz w:val="20"/>
          <w:szCs w:val="20"/>
        </w:rPr>
        <w:t>[any agent, officer, sheriff, Marshall]</w:t>
      </w:r>
      <w:r>
        <w:rPr>
          <w:sz w:val="20"/>
          <w:szCs w:val="20"/>
        </w:rPr>
        <w:t xml:space="preserve"> </w:t>
      </w:r>
      <w:r w:rsidRPr="00DF486D">
        <w:rPr>
          <w:sz w:val="20"/>
          <w:szCs w:val="20"/>
        </w:rPr>
        <w:t>are</w:t>
      </w:r>
      <w:r w:rsidRPr="00DF486D">
        <w:rPr>
          <w:sz w:val="20"/>
          <w:szCs w:val="20"/>
        </w:rPr>
        <w:t xml:space="preserve"> in high treason. Clearly, now as of a few weeks ago, a Supreme Court Justice Roberts </w:t>
      </w:r>
      <w:r w:rsidRPr="00DF486D">
        <w:rPr>
          <w:b/>
          <w:sz w:val="20"/>
          <w:szCs w:val="20"/>
        </w:rPr>
        <w:t>has agreed</w:t>
      </w:r>
      <w:r w:rsidRPr="00DF486D">
        <w:rPr>
          <w:sz w:val="20"/>
          <w:szCs w:val="20"/>
        </w:rPr>
        <w:t xml:space="preserve"> with this </w:t>
      </w:r>
      <w:r w:rsidRPr="00DF486D">
        <w:rPr>
          <w:b/>
          <w:sz w:val="20"/>
          <w:szCs w:val="20"/>
        </w:rPr>
        <w:t>superior courts judicial tribunal</w:t>
      </w:r>
      <w:r w:rsidRPr="00DF486D">
        <w:rPr>
          <w:sz w:val="20"/>
          <w:szCs w:val="20"/>
        </w:rPr>
        <w:t xml:space="preserve"> in making or deciding and a determination of the meaning of law.   (</w:t>
      </w:r>
      <w:r w:rsidRPr="00DF486D">
        <w:rPr>
          <w:b/>
          <w:sz w:val="20"/>
          <w:szCs w:val="20"/>
        </w:rPr>
        <w:t>Chevron Doctrine)</w:t>
      </w:r>
    </w:p>
    <w:p w:rsidR="00DF486D" w:rsidRPr="00DF486D" w:rsidRDefault="00DF486D" w:rsidP="00DF486D">
      <w:pPr>
        <w:rPr>
          <w:b/>
          <w:sz w:val="20"/>
          <w:szCs w:val="20"/>
        </w:rPr>
      </w:pPr>
      <w:r w:rsidRPr="00DF486D">
        <w:rPr>
          <w:b/>
          <w:sz w:val="20"/>
          <w:szCs w:val="20"/>
        </w:rPr>
        <w:t xml:space="preserve">Please review: </w:t>
      </w:r>
    </w:p>
    <w:p w:rsidR="00DF486D" w:rsidRPr="00DF486D" w:rsidRDefault="00DF486D" w:rsidP="00DF486D">
      <w:pPr>
        <w:rPr>
          <w:b/>
          <w:sz w:val="20"/>
          <w:szCs w:val="20"/>
        </w:rPr>
      </w:pPr>
      <w:r w:rsidRPr="00DF486D">
        <w:rPr>
          <w:b/>
          <w:sz w:val="20"/>
          <w:szCs w:val="20"/>
        </w:rPr>
        <w:t xml:space="preserve">Roberts </w:t>
      </w:r>
      <w:r w:rsidRPr="00DF486D">
        <w:rPr>
          <w:sz w:val="20"/>
          <w:szCs w:val="20"/>
        </w:rPr>
        <w:t xml:space="preserve">noted, directs courts to </w:t>
      </w:r>
      <w:r w:rsidRPr="00DF486D">
        <w:rPr>
          <w:b/>
          <w:sz w:val="20"/>
          <w:szCs w:val="20"/>
        </w:rPr>
        <w:t>“decide legal questions by applying their own judgment”</w:t>
      </w:r>
    </w:p>
    <w:p w:rsidR="00DF486D" w:rsidRPr="00DF486D" w:rsidRDefault="00DF486D" w:rsidP="00DF486D">
      <w:pPr>
        <w:rPr>
          <w:b/>
          <w:sz w:val="20"/>
          <w:szCs w:val="20"/>
        </w:rPr>
      </w:pPr>
      <w:r w:rsidRPr="00DF486D">
        <w:rPr>
          <w:b/>
          <w:sz w:val="20"/>
          <w:szCs w:val="20"/>
        </w:rPr>
        <w:t xml:space="preserve">Roberts </w:t>
      </w:r>
      <w:r>
        <w:rPr>
          <w:sz w:val="20"/>
          <w:szCs w:val="20"/>
        </w:rPr>
        <w:t xml:space="preserve">noted, Agencies </w:t>
      </w:r>
      <w:r w:rsidRPr="00DF486D">
        <w:rPr>
          <w:b/>
          <w:sz w:val="20"/>
          <w:szCs w:val="20"/>
        </w:rPr>
        <w:t xml:space="preserve">(Any agency, </w:t>
      </w:r>
      <w:r w:rsidRPr="00DF486D">
        <w:rPr>
          <w:b/>
          <w:sz w:val="20"/>
          <w:szCs w:val="20"/>
        </w:rPr>
        <w:t>or any Bank</w:t>
      </w:r>
      <w:r w:rsidRPr="00DF486D">
        <w:rPr>
          <w:b/>
          <w:sz w:val="20"/>
          <w:szCs w:val="20"/>
        </w:rPr>
        <w:t>,</w:t>
      </w:r>
      <w:r w:rsidRPr="00DF486D">
        <w:rPr>
          <w:b/>
          <w:sz w:val="20"/>
          <w:szCs w:val="20"/>
        </w:rPr>
        <w:t xml:space="preserve"> Financial organization</w:t>
      </w:r>
      <w:r w:rsidRPr="00DF486D">
        <w:rPr>
          <w:b/>
          <w:sz w:val="20"/>
          <w:szCs w:val="20"/>
        </w:rPr>
        <w:t>,</w:t>
      </w:r>
      <w:r w:rsidRPr="00DF486D">
        <w:rPr>
          <w:b/>
          <w:sz w:val="20"/>
          <w:szCs w:val="20"/>
        </w:rPr>
        <w:t xml:space="preserve"> Credit Union)</w:t>
      </w:r>
      <w:r w:rsidRPr="00DF486D">
        <w:rPr>
          <w:sz w:val="20"/>
          <w:szCs w:val="20"/>
        </w:rPr>
        <w:t xml:space="preserve"> – “</w:t>
      </w:r>
      <w:r w:rsidRPr="00DF486D">
        <w:rPr>
          <w:b/>
          <w:sz w:val="20"/>
          <w:szCs w:val="20"/>
        </w:rPr>
        <w:t xml:space="preserve">are not entitled to deference. </w:t>
      </w:r>
      <w:r w:rsidRPr="00DF486D">
        <w:rPr>
          <w:sz w:val="20"/>
          <w:szCs w:val="20"/>
        </w:rPr>
        <w:t>Under the</w:t>
      </w:r>
      <w:r w:rsidRPr="00DF486D">
        <w:rPr>
          <w:b/>
          <w:sz w:val="20"/>
          <w:szCs w:val="20"/>
        </w:rPr>
        <w:t xml:space="preserve"> APA,” </w:t>
      </w:r>
      <w:r w:rsidRPr="00DF486D">
        <w:rPr>
          <w:sz w:val="20"/>
          <w:szCs w:val="20"/>
        </w:rPr>
        <w:t xml:space="preserve">Roberts concluded, </w:t>
      </w:r>
      <w:r w:rsidRPr="00DF486D">
        <w:rPr>
          <w:b/>
          <w:sz w:val="20"/>
          <w:szCs w:val="20"/>
        </w:rPr>
        <w:t xml:space="preserve">“it thus remains the responsibility of the "court to decide whether the law means what the agency says.” </w:t>
      </w:r>
    </w:p>
    <w:p w:rsidR="00DF486D" w:rsidRPr="00DF486D" w:rsidRDefault="00DF486D" w:rsidP="00DF486D">
      <w:pPr>
        <w:rPr>
          <w:b/>
          <w:sz w:val="20"/>
          <w:szCs w:val="20"/>
        </w:rPr>
      </w:pPr>
      <w:r w:rsidRPr="00DF486D">
        <w:rPr>
          <w:b/>
          <w:sz w:val="20"/>
          <w:szCs w:val="20"/>
        </w:rPr>
        <w:t xml:space="preserve">Roberts </w:t>
      </w:r>
      <w:r w:rsidRPr="00DF486D">
        <w:rPr>
          <w:sz w:val="20"/>
          <w:szCs w:val="20"/>
        </w:rPr>
        <w:t xml:space="preserve">rejected </w:t>
      </w:r>
      <w:r w:rsidRPr="00DF486D">
        <w:rPr>
          <w:b/>
          <w:sz w:val="20"/>
          <w:szCs w:val="20"/>
        </w:rPr>
        <w:t>any suggestion that agencies</w:t>
      </w:r>
      <w:r w:rsidRPr="00DF486D">
        <w:rPr>
          <w:sz w:val="20"/>
          <w:szCs w:val="20"/>
        </w:rPr>
        <w:t xml:space="preserve">, rather than </w:t>
      </w:r>
      <w:r w:rsidRPr="00DF486D">
        <w:rPr>
          <w:b/>
          <w:sz w:val="20"/>
          <w:szCs w:val="20"/>
        </w:rPr>
        <w:t>courts,</w:t>
      </w:r>
      <w:r w:rsidRPr="00DF486D">
        <w:rPr>
          <w:sz w:val="20"/>
          <w:szCs w:val="20"/>
        </w:rPr>
        <w:t xml:space="preserve"> are </w:t>
      </w:r>
      <w:r w:rsidRPr="00DF486D">
        <w:rPr>
          <w:b/>
          <w:sz w:val="20"/>
          <w:szCs w:val="20"/>
        </w:rPr>
        <w:t>better suited to determine</w:t>
      </w:r>
      <w:r w:rsidRPr="00DF486D">
        <w:rPr>
          <w:sz w:val="20"/>
          <w:szCs w:val="20"/>
        </w:rPr>
        <w:t xml:space="preserve"> what </w:t>
      </w:r>
      <w:r w:rsidRPr="00DF486D">
        <w:rPr>
          <w:b/>
          <w:sz w:val="20"/>
          <w:szCs w:val="20"/>
        </w:rPr>
        <w:t>ambiguities in a federal law might mean.</w:t>
      </w:r>
    </w:p>
    <w:p w:rsidR="00DF486D" w:rsidRPr="00DF486D" w:rsidRDefault="00DF486D" w:rsidP="00DF486D">
      <w:pPr>
        <w:rPr>
          <w:sz w:val="20"/>
          <w:szCs w:val="20"/>
        </w:rPr>
      </w:pPr>
      <w:r w:rsidRPr="00DF486D">
        <w:rPr>
          <w:sz w:val="20"/>
          <w:szCs w:val="20"/>
        </w:rPr>
        <w:t>Justice Robe</w:t>
      </w:r>
      <w:r>
        <w:rPr>
          <w:sz w:val="20"/>
          <w:szCs w:val="20"/>
        </w:rPr>
        <w:t xml:space="preserve">rts concluded that agencies </w:t>
      </w:r>
      <w:r w:rsidRPr="00DF486D">
        <w:rPr>
          <w:b/>
          <w:sz w:val="20"/>
          <w:szCs w:val="20"/>
        </w:rPr>
        <w:t>(Any agency,</w:t>
      </w:r>
      <w:r w:rsidRPr="00DF486D">
        <w:rPr>
          <w:b/>
          <w:sz w:val="20"/>
          <w:szCs w:val="20"/>
        </w:rPr>
        <w:t xml:space="preserve"> or any Bank</w:t>
      </w:r>
      <w:r w:rsidRPr="00DF486D">
        <w:rPr>
          <w:b/>
          <w:sz w:val="20"/>
          <w:szCs w:val="20"/>
        </w:rPr>
        <w:t>,</w:t>
      </w:r>
      <w:r w:rsidRPr="00DF486D">
        <w:rPr>
          <w:b/>
          <w:sz w:val="20"/>
          <w:szCs w:val="20"/>
        </w:rPr>
        <w:t xml:space="preserve"> Financial organization, Credit Union)</w:t>
      </w:r>
      <w:r w:rsidRPr="00DF486D">
        <w:rPr>
          <w:sz w:val="20"/>
          <w:szCs w:val="20"/>
        </w:rPr>
        <w:t xml:space="preserve"> are not entitled to deference. That deference can only be applied under an ancillary office which justice Roberts himself is under as all the Supreme court house magistrates are or judges in California are under and the United States according to California constitution and the United States Constitution.</w:t>
      </w:r>
    </w:p>
    <w:p w:rsidR="00DF486D" w:rsidRPr="00DF486D" w:rsidRDefault="00DF486D" w:rsidP="00DF486D">
      <w:pPr>
        <w:rPr>
          <w:sz w:val="20"/>
          <w:szCs w:val="20"/>
        </w:rPr>
      </w:pPr>
      <w:r w:rsidRPr="00DF486D">
        <w:rPr>
          <w:b/>
          <w:sz w:val="20"/>
          <w:szCs w:val="20"/>
        </w:rPr>
        <w:t>Definition:</w:t>
      </w:r>
      <w:r w:rsidRPr="00DF486D">
        <w:rPr>
          <w:sz w:val="20"/>
          <w:szCs w:val="20"/>
        </w:rPr>
        <w:t xml:space="preserve"> </w:t>
      </w:r>
      <w:r w:rsidRPr="00DF486D">
        <w:rPr>
          <w:b/>
          <w:sz w:val="20"/>
          <w:szCs w:val="20"/>
        </w:rPr>
        <w:t>Ancillary:</w:t>
      </w:r>
      <w:r w:rsidRPr="00DF486D">
        <w:rPr>
          <w:sz w:val="20"/>
          <w:szCs w:val="20"/>
        </w:rPr>
        <w:t xml:space="preserve"> Of secondary importance; subordinate. </w:t>
      </w:r>
      <w:r w:rsidRPr="00DF486D">
        <w:rPr>
          <w:b/>
          <w:sz w:val="20"/>
          <w:szCs w:val="20"/>
        </w:rPr>
        <w:t>“Court of record'</w:t>
      </w:r>
      <w:r w:rsidRPr="00DF486D">
        <w:rPr>
          <w:sz w:val="20"/>
          <w:szCs w:val="20"/>
        </w:rPr>
        <w:t xml:space="preserve"> person of the magistrate </w:t>
      </w:r>
      <w:r w:rsidRPr="00DF486D">
        <w:rPr>
          <w:b/>
          <w:sz w:val="20"/>
          <w:szCs w:val="20"/>
        </w:rPr>
        <w:t>(Subordinate to judicial tribunal)</w:t>
      </w:r>
      <w:r w:rsidRPr="00DF486D">
        <w:rPr>
          <w:sz w:val="20"/>
          <w:szCs w:val="20"/>
        </w:rPr>
        <w:t xml:space="preserve"> </w:t>
      </w:r>
    </w:p>
    <w:p w:rsidR="00DF486D" w:rsidRPr="00DF486D" w:rsidRDefault="00DF486D" w:rsidP="00DF486D">
      <w:pPr>
        <w:rPr>
          <w:b/>
          <w:sz w:val="20"/>
          <w:szCs w:val="20"/>
        </w:rPr>
      </w:pPr>
      <w:r w:rsidRPr="00DF486D">
        <w:rPr>
          <w:b/>
          <w:sz w:val="20"/>
          <w:szCs w:val="20"/>
        </w:rPr>
        <w:t>Definition:</w:t>
      </w:r>
      <w:r w:rsidRPr="00DF486D">
        <w:rPr>
          <w:sz w:val="20"/>
          <w:szCs w:val="20"/>
        </w:rPr>
        <w:t xml:space="preserve"> </w:t>
      </w:r>
      <w:r w:rsidRPr="00DF486D">
        <w:rPr>
          <w:b/>
          <w:sz w:val="20"/>
          <w:szCs w:val="20"/>
        </w:rPr>
        <w:t>Deference:</w:t>
      </w:r>
      <w:r w:rsidRPr="00DF486D">
        <w:rPr>
          <w:sz w:val="20"/>
          <w:szCs w:val="20"/>
        </w:rPr>
        <w:t xml:space="preserve"> A </w:t>
      </w:r>
      <w:r w:rsidRPr="00DF486D">
        <w:rPr>
          <w:b/>
          <w:sz w:val="20"/>
          <w:szCs w:val="20"/>
        </w:rPr>
        <w:t>yielding of judgment or preference</w:t>
      </w:r>
      <w:r w:rsidRPr="00DF486D">
        <w:rPr>
          <w:sz w:val="20"/>
          <w:szCs w:val="20"/>
        </w:rPr>
        <w:t xml:space="preserve"> from respect to the wishes or opinion of another; submission in opinion; regard; respect; complaisance.  </w:t>
      </w:r>
      <w:r w:rsidRPr="00DF486D">
        <w:rPr>
          <w:b/>
          <w:sz w:val="20"/>
          <w:szCs w:val="20"/>
        </w:rPr>
        <w:t xml:space="preserve">"Compliance as ancillary to a Court of records judicial tribunal who decree's LAW”  </w:t>
      </w:r>
    </w:p>
    <w:p w:rsidR="00DF486D" w:rsidRDefault="00DF486D" w:rsidP="00DF486D">
      <w:r>
        <w:t>Please review:</w:t>
      </w:r>
    </w:p>
    <w:p w:rsidR="00DF486D" w:rsidRPr="00DF486D" w:rsidRDefault="00DF486D" w:rsidP="00DF486D">
      <w:pPr>
        <w:rPr>
          <w:sz w:val="20"/>
          <w:szCs w:val="20"/>
        </w:rPr>
      </w:pPr>
      <w:r w:rsidRPr="00DF486D">
        <w:rPr>
          <w:b/>
          <w:sz w:val="20"/>
          <w:szCs w:val="20"/>
        </w:rPr>
        <w:t>California Constitution Article VI – Judicial Section 1</w:t>
      </w:r>
      <w:r w:rsidRPr="00DF486D">
        <w:rPr>
          <w:sz w:val="20"/>
          <w:szCs w:val="20"/>
        </w:rPr>
        <w:t xml:space="preserve">. The </w:t>
      </w:r>
      <w:r w:rsidRPr="009316C1">
        <w:rPr>
          <w:b/>
          <w:sz w:val="20"/>
          <w:szCs w:val="20"/>
        </w:rPr>
        <w:t>"judicial power"</w:t>
      </w:r>
      <w:r w:rsidRPr="00DF486D">
        <w:rPr>
          <w:sz w:val="20"/>
          <w:szCs w:val="20"/>
        </w:rPr>
        <w:t xml:space="preserve"> of this </w:t>
      </w:r>
      <w:r w:rsidRPr="009316C1">
        <w:rPr>
          <w:b/>
          <w:sz w:val="20"/>
          <w:szCs w:val="20"/>
        </w:rPr>
        <w:t xml:space="preserve">"State" </w:t>
      </w:r>
      <w:r w:rsidRPr="00DF486D">
        <w:rPr>
          <w:sz w:val="20"/>
          <w:szCs w:val="20"/>
        </w:rPr>
        <w:t xml:space="preserve">is vested in the </w:t>
      </w:r>
      <w:r w:rsidRPr="009316C1">
        <w:rPr>
          <w:b/>
          <w:sz w:val="20"/>
          <w:szCs w:val="20"/>
        </w:rPr>
        <w:t>"Supreme Court",</w:t>
      </w:r>
      <w:r w:rsidRPr="00DF486D">
        <w:rPr>
          <w:sz w:val="20"/>
          <w:szCs w:val="20"/>
        </w:rPr>
        <w:t xml:space="preserve"> </w:t>
      </w:r>
      <w:r w:rsidRPr="009316C1">
        <w:rPr>
          <w:b/>
          <w:sz w:val="20"/>
          <w:szCs w:val="20"/>
        </w:rPr>
        <w:t xml:space="preserve">"Courts of appeal", </w:t>
      </w:r>
      <w:r w:rsidRPr="00DF486D">
        <w:rPr>
          <w:sz w:val="20"/>
          <w:szCs w:val="20"/>
        </w:rPr>
        <w:t xml:space="preserve">and   </w:t>
      </w:r>
      <w:r w:rsidRPr="009316C1">
        <w:rPr>
          <w:b/>
          <w:sz w:val="20"/>
          <w:szCs w:val="20"/>
        </w:rPr>
        <w:t>"Superior Courts",</w:t>
      </w:r>
      <w:r w:rsidRPr="00DF486D">
        <w:rPr>
          <w:sz w:val="20"/>
          <w:szCs w:val="20"/>
        </w:rPr>
        <w:t xml:space="preserve"> all of which are </w:t>
      </w:r>
      <w:r w:rsidRPr="009316C1">
        <w:rPr>
          <w:b/>
          <w:sz w:val="20"/>
          <w:szCs w:val="20"/>
        </w:rPr>
        <w:t>“Courts of Record".</w:t>
      </w:r>
    </w:p>
    <w:p w:rsidR="00DF486D" w:rsidRPr="00DF486D" w:rsidRDefault="00DF486D" w:rsidP="00DF486D">
      <w:pPr>
        <w:rPr>
          <w:sz w:val="20"/>
          <w:szCs w:val="20"/>
        </w:rPr>
      </w:pPr>
    </w:p>
    <w:p w:rsidR="00DF486D" w:rsidRPr="00DF486D" w:rsidRDefault="00DF486D" w:rsidP="00DF486D">
      <w:pPr>
        <w:rPr>
          <w:sz w:val="20"/>
          <w:szCs w:val="20"/>
        </w:rPr>
      </w:pPr>
      <w:r w:rsidRPr="00DF486D">
        <w:rPr>
          <w:b/>
          <w:sz w:val="20"/>
          <w:szCs w:val="20"/>
        </w:rPr>
        <w:t xml:space="preserve">U.S. Constitution Art VII Amendment VII; </w:t>
      </w:r>
      <w:r w:rsidRPr="00DF486D">
        <w:rPr>
          <w:sz w:val="20"/>
          <w:szCs w:val="20"/>
        </w:rPr>
        <w:t xml:space="preserve">In </w:t>
      </w:r>
      <w:r w:rsidRPr="009316C1">
        <w:rPr>
          <w:b/>
          <w:sz w:val="20"/>
          <w:szCs w:val="20"/>
        </w:rPr>
        <w:t>suits at common law,</w:t>
      </w:r>
      <w:r w:rsidRPr="00DF486D">
        <w:rPr>
          <w:sz w:val="20"/>
          <w:szCs w:val="20"/>
        </w:rPr>
        <w:t xml:space="preserve"> where the value in controversy shall exceed </w:t>
      </w:r>
      <w:r w:rsidRPr="009316C1">
        <w:rPr>
          <w:b/>
          <w:sz w:val="20"/>
          <w:szCs w:val="20"/>
        </w:rPr>
        <w:t>twenty dollars,</w:t>
      </w:r>
      <w:r w:rsidRPr="00DF486D">
        <w:rPr>
          <w:sz w:val="20"/>
          <w:szCs w:val="20"/>
        </w:rPr>
        <w:t xml:space="preserve"> the right of </w:t>
      </w:r>
      <w:r w:rsidRPr="009316C1">
        <w:rPr>
          <w:b/>
          <w:sz w:val="20"/>
          <w:szCs w:val="20"/>
        </w:rPr>
        <w:t>trial by jury</w:t>
      </w:r>
      <w:r w:rsidRPr="00DF486D">
        <w:rPr>
          <w:sz w:val="20"/>
          <w:szCs w:val="20"/>
        </w:rPr>
        <w:t xml:space="preserve"> shall be preserved, and no fact tried by a jury, shall be otherwise reexamined </w:t>
      </w:r>
      <w:r w:rsidRPr="009316C1">
        <w:rPr>
          <w:b/>
          <w:sz w:val="20"/>
          <w:szCs w:val="20"/>
        </w:rPr>
        <w:t>in any court of the United States</w:t>
      </w:r>
      <w:r w:rsidRPr="00DF486D">
        <w:rPr>
          <w:sz w:val="20"/>
          <w:szCs w:val="20"/>
        </w:rPr>
        <w:t xml:space="preserve">, than according to the </w:t>
      </w:r>
      <w:r w:rsidRPr="009316C1">
        <w:rPr>
          <w:b/>
          <w:sz w:val="20"/>
          <w:szCs w:val="20"/>
        </w:rPr>
        <w:t>rules</w:t>
      </w:r>
      <w:r w:rsidRPr="00DF486D">
        <w:rPr>
          <w:sz w:val="20"/>
          <w:szCs w:val="20"/>
        </w:rPr>
        <w:t xml:space="preserve"> of the </w:t>
      </w:r>
      <w:r w:rsidRPr="009316C1">
        <w:rPr>
          <w:b/>
          <w:sz w:val="20"/>
          <w:szCs w:val="20"/>
        </w:rPr>
        <w:t>common law.</w:t>
      </w:r>
    </w:p>
    <w:p w:rsidR="00DF486D" w:rsidRPr="00DF486D" w:rsidRDefault="00DF486D" w:rsidP="00DF486D">
      <w:pPr>
        <w:rPr>
          <w:sz w:val="20"/>
          <w:szCs w:val="20"/>
        </w:rPr>
      </w:pPr>
    </w:p>
    <w:p w:rsidR="00DF486D" w:rsidRPr="009316C1" w:rsidRDefault="00DF486D" w:rsidP="00DF486D">
      <w:pPr>
        <w:rPr>
          <w:b/>
          <w:sz w:val="20"/>
          <w:szCs w:val="20"/>
        </w:rPr>
      </w:pPr>
      <w:r w:rsidRPr="009316C1">
        <w:rPr>
          <w:b/>
          <w:sz w:val="20"/>
          <w:szCs w:val="20"/>
        </w:rPr>
        <w:t>If you need more information please review the attachments California evidence code 451 and 452 supplemental document to 451 &amp; 452 and the definitions document as well sent along with in this Notice of fault offer to cure.</w:t>
      </w:r>
    </w:p>
    <w:sectPr w:rsidR="00DF486D" w:rsidRPr="009316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60" w:rsidRDefault="00E24560" w:rsidP="00DF486D">
      <w:pPr>
        <w:spacing w:after="0" w:line="240" w:lineRule="auto"/>
      </w:pPr>
      <w:r>
        <w:separator/>
      </w:r>
    </w:p>
  </w:endnote>
  <w:endnote w:type="continuationSeparator" w:id="0">
    <w:p w:rsidR="00E24560" w:rsidRDefault="00E24560" w:rsidP="00D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60" w:rsidRDefault="00E24560" w:rsidP="00DF486D">
      <w:pPr>
        <w:spacing w:after="0" w:line="240" w:lineRule="auto"/>
      </w:pPr>
      <w:r>
        <w:separator/>
      </w:r>
    </w:p>
  </w:footnote>
  <w:footnote w:type="continuationSeparator" w:id="0">
    <w:p w:rsidR="00E24560" w:rsidRDefault="00E24560" w:rsidP="00DF4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6D" w:rsidRPr="00DF486D" w:rsidRDefault="00DF486D" w:rsidP="00DF486D">
    <w:pPr>
      <w:pStyle w:val="Header"/>
      <w:jc w:val="center"/>
      <w:rPr>
        <w:b/>
        <w:sz w:val="36"/>
        <w:szCs w:val="36"/>
      </w:rPr>
    </w:pPr>
    <w:r w:rsidRPr="00DF486D">
      <w:rPr>
        <w:b/>
        <w:sz w:val="36"/>
        <w:szCs w:val="36"/>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6D"/>
    <w:rsid w:val="00402FB0"/>
    <w:rsid w:val="00796AB7"/>
    <w:rsid w:val="009316C1"/>
    <w:rsid w:val="00DF486D"/>
    <w:rsid w:val="00E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C8AE-6B4F-43B8-9BE1-2891EE9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86D"/>
  </w:style>
  <w:style w:type="paragraph" w:styleId="Footer">
    <w:name w:val="footer"/>
    <w:basedOn w:val="Normal"/>
    <w:link w:val="FooterChar"/>
    <w:uiPriority w:val="99"/>
    <w:unhideWhenUsed/>
    <w:rsid w:val="00DF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2024-08-03T18:51:00Z</dcterms:created>
  <dcterms:modified xsi:type="dcterms:W3CDTF">2024-08-03T19:11:00Z</dcterms:modified>
</cp:coreProperties>
</file>